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proofErr w:type="spellStart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Рособрнадзор</w:t>
      </w:r>
      <w:proofErr w:type="spellEnd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утвердил новые Требования к структуре официального сайта образовательной организации в информационно-телекоммуникационной сети «Интернет» и формату представления информации. Документ начнет действовать с 1 сентября 2024 года.</w:t>
      </w:r>
    </w:p>
    <w:p w:rsidR="00ED5842" w:rsidRPr="00ED5842" w:rsidRDefault="00ED5842" w:rsidP="00ED5842">
      <w:pPr>
        <w:pBdr>
          <w:left w:val="single" w:sz="18" w:space="8" w:color="4AC8ED"/>
        </w:pBdr>
        <w:shd w:val="clear" w:color="auto" w:fill="FFFFFF"/>
        <w:spacing w:after="10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hyperlink r:id="rId5" w:tgtFrame="_blank" w:history="1">
        <w:r w:rsidRPr="00ED5842">
          <w:rPr>
            <w:rFonts w:ascii="Open Sans" w:eastAsia="Times New Roman" w:hAnsi="Open Sans" w:cs="Times New Roman"/>
            <w:color w:val="0D6E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D5842">
          <w:rPr>
            <w:rFonts w:ascii="Open Sans" w:eastAsia="Times New Roman" w:hAnsi="Open Sans" w:cs="Times New Roman"/>
            <w:color w:val="0D6EF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D5842">
          <w:rPr>
            <w:rFonts w:ascii="Open Sans" w:eastAsia="Times New Roman" w:hAnsi="Open Sans" w:cs="Times New Roman"/>
            <w:color w:val="0D6EFD"/>
            <w:sz w:val="24"/>
            <w:szCs w:val="24"/>
            <w:u w:val="single"/>
            <w:lang w:eastAsia="ru-RU"/>
          </w:rPr>
          <w:t xml:space="preserve"> от 04.08.2023 №1493</w:t>
        </w:r>
      </w:hyperlink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 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Ведомство изменило структуру основного раздела сайта школ и детских садов «Сведения об образовательной организации». Теперь он включает 14 обязательных подразделов: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основные сведения;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структура и органы управления образовательной организацией;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документы;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образование;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руководство;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педагогический состав;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материально-техническое обеспечение и оснащенность образовательного процесса. Доступная среда;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платные образовательные услуги;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финансово-хозяйственная деятельность;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вакантные места для приема (перевода) обучающихся;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стипендии и меры поддержки обучающихся;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международное сотрудничество;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организация питания в образовательной организации;</w:t>
      </w:r>
    </w:p>
    <w:p w:rsidR="00ED5842" w:rsidRPr="00ED5842" w:rsidRDefault="00ED5842" w:rsidP="00ED5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образовательные стандарты и требования – для тех, кто применяет в работе ФГОС и ФГТ.</w:t>
      </w:r>
    </w:p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Видно, что разделили руководство и </w:t>
      </w:r>
      <w:proofErr w:type="spellStart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педсостав</w:t>
      </w:r>
      <w:proofErr w:type="spellEnd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по разным подразделам. А доступную среду наоборот – присоединили к материально-техническому обеспечению. Подраздел «организация питания в образовательной организации» стал обязательным для детских садов и частных образовательных организаций.</w:t>
      </w:r>
    </w:p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Внесли корректировки также в содержание подразделов. Подробнее – в таблице.</w:t>
      </w:r>
    </w:p>
    <w:tbl>
      <w:tblPr>
        <w:tblW w:w="9915" w:type="dxa"/>
        <w:tblBorders>
          <w:top w:val="outset" w:sz="12" w:space="0" w:color="DEE2E6"/>
          <w:left w:val="outset" w:sz="12" w:space="0" w:color="DEE2E6"/>
          <w:bottom w:val="outset" w:sz="12" w:space="0" w:color="DEE2E6"/>
          <w:right w:val="outset" w:sz="12" w:space="0" w:color="DEE2E6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6652"/>
      </w:tblGrid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b/>
                <w:bCs/>
                <w:color w:val="212529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b/>
                <w:bCs/>
                <w:color w:val="212529"/>
                <w:sz w:val="24"/>
                <w:szCs w:val="24"/>
                <w:lang w:eastAsia="ru-RU"/>
              </w:rPr>
              <w:t>Что изменили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Основные сведения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филиалах и представительствах.</w:t>
            </w:r>
          </w:p>
          <w:p w:rsidR="00ED5842" w:rsidRPr="00ED5842" w:rsidRDefault="00ED5842" w:rsidP="00ED58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Добавили сведения о лицензии и аккредитации, в том числе выписках из реестров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Структура и органы управления образовательной организацией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структуре, но добавили наименование структурных подразделений и органов управления.</w:t>
            </w:r>
          </w:p>
          <w:p w:rsidR="00ED5842" w:rsidRPr="00ED5842" w:rsidRDefault="00ED5842" w:rsidP="00ED58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местонахождении и сайтах органов управления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уточнение о том, что в виде электронных документов надо публиковать только те, которые самостоятельно разработала и утвердила образовательная организация.</w:t>
            </w:r>
          </w:p>
          <w:p w:rsidR="00ED5842" w:rsidRPr="00ED5842" w:rsidRDefault="00ED5842" w:rsidP="00ED58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свидетельство о государственной аккредитации с приложениями.</w:t>
            </w:r>
          </w:p>
          <w:p w:rsidR="00ED5842" w:rsidRPr="00ED5842" w:rsidRDefault="00ED5842" w:rsidP="00ED58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 xml:space="preserve">Удалили перечень ЛНА образовательной организации по основным вопросам организации и осуществления </w:t>
            </w: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lastRenderedPageBreak/>
              <w:t>образовательной деятельности. Оставили просто ссылку на Закон об образовании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упоминание об адаптированных образовательных программах.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Добавили исключения для детских садов </w:t>
            </w:r>
            <w:hyperlink r:id="rId6" w:tgtFrame="_blank" w:history="1">
              <w:r w:rsidRPr="00ED5842">
                <w:rPr>
                  <w:rFonts w:ascii="Open Sans" w:eastAsia="Times New Roman" w:hAnsi="Open Sans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по постановлению №1802</w:t>
              </w:r>
            </w:hyperlink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: не надо указывать форму обучения.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Школам и детским садам не надо указывать численность иностранных обучающихся.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уточнение о том, что отдельно надо публиковать учебный план, аннотации к рабочим программам с их приложением, календарный учебный график, методические и иные документы. Оставили лишь требование, что программу надо опубликовать полностью или отдельно с указанием ссылок на ее компоненты.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лицензии.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Уточнили, что сведения о языках образования надо размещать в форме электронного документа – как и </w:t>
            </w:r>
            <w:hyperlink r:id="rId7" w:tgtFrame="_blank" w:history="1">
              <w:r w:rsidRPr="00ED5842">
                <w:rPr>
                  <w:rFonts w:ascii="Open Sans" w:eastAsia="Times New Roman" w:hAnsi="Open Sans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в постановлении №1802</w:t>
              </w:r>
            </w:hyperlink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ED5842" w:rsidRPr="00ED5842" w:rsidRDefault="00ED5842" w:rsidP="00ED584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Добавили сведения о трудоустройстве, но уточнили, что это касается выпускников, освоивших основные профессиональные программы среднего профессионального и высшего образования. Получается, что школы и сады теперь не должны размещать сведения о выпускниках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Оставили сведения о руководителе и его заместителях. Убрали информацию о руководителях филиалов и представительств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требование о размещении информации в форме электронного документа или в виде активных ссылок на страницы сайта.</w:t>
            </w:r>
          </w:p>
          <w:p w:rsidR="00ED5842" w:rsidRPr="00ED5842" w:rsidRDefault="00ED5842" w:rsidP="00ED584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Остальные сведения привели в соответствие с текстом </w:t>
            </w:r>
            <w:hyperlink r:id="rId8" w:tgtFrame="_blank" w:history="1">
              <w:r w:rsidRPr="00ED5842">
                <w:rPr>
                  <w:rFonts w:ascii="Open Sans" w:eastAsia="Times New Roman" w:hAnsi="Open Sans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постановления №1802</w:t>
              </w:r>
            </w:hyperlink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Материально-техническое обеспечение и оснащенность образовательного процесса. Доступная среда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собственных и сторонних электронных образовательных и информационных ресурсах.</w:t>
            </w:r>
          </w:p>
          <w:p w:rsidR="00ED5842" w:rsidRPr="00ED5842" w:rsidRDefault="00ED5842" w:rsidP="00ED58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Добавили сведения об общежитии и интернате.</w:t>
            </w:r>
          </w:p>
          <w:p w:rsidR="00ED5842" w:rsidRPr="00ED5842" w:rsidRDefault="00ED5842" w:rsidP="00ED58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Для инвалидов оставили информацию о доступе в здание и наличии спецсредств обучения.</w:t>
            </w:r>
          </w:p>
          <w:p w:rsidR="00ED5842" w:rsidRPr="00ED5842" w:rsidRDefault="00ED5842" w:rsidP="00ED584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об условиях питания и охраны здоровья обучающихся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Стипендии и меры поддержки обучающихся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 xml:space="preserve">Уточнили, что надо указывать не только меры </w:t>
            </w:r>
            <w:proofErr w:type="spellStart"/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соцподдержки</w:t>
            </w:r>
            <w:proofErr w:type="spellEnd"/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, но еще и условия их предоставления.</w:t>
            </w:r>
          </w:p>
          <w:p w:rsidR="00ED5842" w:rsidRPr="00ED5842" w:rsidRDefault="00ED5842" w:rsidP="00ED584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сведения о трудоустройстве выпускников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Удалили информацию о международной аккредитации образовательных программ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lastRenderedPageBreak/>
              <w:t>Организация питания в образовательной организации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Добавили информацию об условиях питания и охраны здоровья обучающихся. Это надо указывать всем организациям.</w:t>
            </w:r>
          </w:p>
          <w:p w:rsidR="00ED5842" w:rsidRPr="00ED5842" w:rsidRDefault="00ED5842" w:rsidP="00ED584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Привычную информацию (о меню, перечнях и обратной связи) надо публиковать только для обучающихся по образовательным программам НОО в государственных и муниципальных школах</w:t>
            </w:r>
          </w:p>
        </w:tc>
      </w:tr>
      <w:tr w:rsidR="00ED5842" w:rsidRPr="00ED5842" w:rsidTr="00ED584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Образовательные стандарты и требования</w:t>
            </w:r>
          </w:p>
        </w:tc>
        <w:tc>
          <w:tcPr>
            <w:tcW w:w="66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D5842" w:rsidRPr="00ED5842" w:rsidRDefault="00ED5842" w:rsidP="00ED584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</w:pPr>
            <w:r w:rsidRPr="00ED5842">
              <w:rPr>
                <w:rFonts w:ascii="Open Sans" w:eastAsia="Times New Roman" w:hAnsi="Open Sans" w:cs="Times New Roman"/>
                <w:color w:val="212529"/>
                <w:sz w:val="24"/>
                <w:szCs w:val="24"/>
                <w:lang w:eastAsia="ru-RU"/>
              </w:rPr>
              <w:t>Разделили требования к формату: ФГОС и ФГТ надо указывать с активными ссылками на ресурсы, где они опубликованы. А собственные стандарты надо размещать в виде электронных документов</w:t>
            </w:r>
          </w:p>
        </w:tc>
      </w:tr>
    </w:tbl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Требования дополнили нормой о том, что информация на сайте размещается в текстовом, гипертекстовом, графическом форматах, а также в форматах </w:t>
      </w:r>
      <w:proofErr w:type="spellStart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инфографики</w:t>
      </w:r>
      <w:proofErr w:type="spellEnd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, мультимедиа, электронного документа, открытых данных и базы данных. Текстовые и табличные материалы дополнительно к гипертекстовому формату размещаются в виде файлов в формате, обеспечивающем возможность их сохранения (скачивания), а после – поиска и копирования произвольного фрагмента текста.</w:t>
      </w:r>
    </w:p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Удалили требования о том, что максимальный размер размещаемого файла не должен превышать 15 Мб, а разрешение сканированного документа – не менее 100 </w:t>
      </w:r>
      <w:proofErr w:type="spellStart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dpi</w:t>
      </w:r>
      <w:proofErr w:type="spellEnd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.</w:t>
      </w:r>
    </w:p>
    <w:p w:rsid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Несмотря на актуализацию требований и приведение их в соответствии с Правилами, утвержденными </w:t>
      </w:r>
      <w:hyperlink r:id="rId9" w:tgtFrame="_blank" w:history="1">
        <w:r w:rsidRPr="00ED5842">
          <w:rPr>
            <w:rFonts w:ascii="Open Sans" w:eastAsia="Times New Roman" w:hAnsi="Open Sans" w:cs="Times New Roman"/>
            <w:color w:val="0D6EFD"/>
            <w:sz w:val="24"/>
            <w:szCs w:val="24"/>
            <w:u w:val="single"/>
            <w:lang w:eastAsia="ru-RU"/>
          </w:rPr>
          <w:t>постановлением Правительства от 20.10.2021 №1802</w:t>
        </w:r>
      </w:hyperlink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, по-прежнему остаются сложности в трактовке некоторых норм. Например, неясно, можно ли разместить скан ПФХД, или нужен именно электронный документ, подписанный цифровой подписью. Поскольку условие об электронном документе идет после фразы о смете, но при этом нет отдельного описания формата ПФХД, то невозможно однозначно трактовать этот пункт.</w:t>
      </w:r>
    </w:p>
    <w:p w:rsid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</w:p>
    <w:p w:rsid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</w:p>
    <w:p w:rsidR="00ED5842" w:rsidRPr="00ED5842" w:rsidRDefault="00ED5842" w:rsidP="00ED5842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Источник: </w:t>
      </w:r>
      <w:bookmarkStart w:id="0" w:name="_GoBack"/>
      <w:bookmarkEnd w:id="0"/>
      <w:r w:rsidRPr="00ED5842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http://www.mmc.vega-int.ru/node/article/3324</w:t>
      </w:r>
    </w:p>
    <w:p w:rsidR="0079545A" w:rsidRDefault="0079545A"/>
    <w:sectPr w:rsidR="0079545A" w:rsidSect="00ED5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A73"/>
    <w:multiLevelType w:val="multilevel"/>
    <w:tmpl w:val="234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4501"/>
    <w:multiLevelType w:val="multilevel"/>
    <w:tmpl w:val="1662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47B40"/>
    <w:multiLevelType w:val="multilevel"/>
    <w:tmpl w:val="331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45E70"/>
    <w:multiLevelType w:val="multilevel"/>
    <w:tmpl w:val="782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553E4"/>
    <w:multiLevelType w:val="multilevel"/>
    <w:tmpl w:val="0C1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C04CD"/>
    <w:multiLevelType w:val="multilevel"/>
    <w:tmpl w:val="944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308CF"/>
    <w:multiLevelType w:val="multilevel"/>
    <w:tmpl w:val="19F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3250"/>
    <w:multiLevelType w:val="multilevel"/>
    <w:tmpl w:val="C9E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94308"/>
    <w:multiLevelType w:val="multilevel"/>
    <w:tmpl w:val="7B3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04898"/>
    <w:multiLevelType w:val="multilevel"/>
    <w:tmpl w:val="59D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64D24"/>
    <w:multiLevelType w:val="multilevel"/>
    <w:tmpl w:val="42C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42"/>
    <w:rsid w:val="0079545A"/>
    <w:rsid w:val="00E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0BA1"/>
  <w15:chartTrackingRefBased/>
  <w15:docId w15:val="{3219FFB1-4365-4AFC-B52A-02CF9B0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E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8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c.vega-int.ru/uploads/docs/2023/20211020_postanovlenie1802_si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c.vega-int.ru/uploads/docs/2023/20211020_postanovlenie1802_si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c.vega-int.ru/uploads/docs/2023/20211020_postanovlenie1802_sit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mc.vega-int.ru/uploads/docs/2023/20230804_prikaz1493_strukturasajt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mc.vega-int.ru/uploads/docs/2023/20211020_postanovlenie1802_si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5</dc:creator>
  <cp:keywords/>
  <dc:description/>
  <cp:lastModifiedBy>Точка роста 5</cp:lastModifiedBy>
  <cp:revision>1</cp:revision>
  <dcterms:created xsi:type="dcterms:W3CDTF">2024-06-06T10:24:00Z</dcterms:created>
  <dcterms:modified xsi:type="dcterms:W3CDTF">2024-06-06T10:26:00Z</dcterms:modified>
</cp:coreProperties>
</file>